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EB9F95" w14:textId="77777777" w:rsidR="00752103" w:rsidRDefault="00681B98">
      <w:pPr>
        <w:keepNext/>
        <w:tabs>
          <w:tab w:val="left" w:pos="5715"/>
        </w:tabs>
        <w:spacing w:after="240" w:line="240" w:lineRule="auto"/>
        <w:rPr>
          <w:rFonts w:ascii="Arial Bold" w:eastAsia="Arial Bold" w:hAnsi="Arial Bold" w:cs="Arial Bold"/>
          <w:b/>
          <w:color w:val="000000"/>
          <w:sz w:val="36"/>
          <w:szCs w:val="36"/>
        </w:rPr>
      </w:pPr>
      <w:bookmarkStart w:id="0" w:name="_GoBack"/>
      <w:bookmarkEnd w:id="0"/>
      <w:r>
        <w:rPr>
          <w:rFonts w:ascii="Arial Bold" w:eastAsia="Arial Bold" w:hAnsi="Arial Bold" w:cs="Arial Bold"/>
          <w:b/>
          <w:color w:val="000000"/>
          <w:sz w:val="36"/>
          <w:szCs w:val="36"/>
        </w:rPr>
        <w:t>Call-Off Schedule 1 (Transparency Reports)</w:t>
      </w:r>
    </w:p>
    <w:p w14:paraId="37EB9F96" w14:textId="77777777" w:rsidR="00752103" w:rsidRDefault="00681B98">
      <w:pPr>
        <w:spacing w:after="0"/>
        <w:ind w:left="992" w:hanging="992"/>
      </w:pPr>
      <w:r>
        <w:rPr>
          <w:rFonts w:ascii="Arial" w:eastAsia="Arial" w:hAnsi="Arial" w:cs="Arial"/>
          <w:color w:val="000000"/>
          <w:sz w:val="24"/>
          <w:szCs w:val="24"/>
        </w:rPr>
        <w:t xml:space="preserve">1.1  </w:t>
      </w:r>
      <w:r>
        <w:rPr>
          <w:rFonts w:ascii="Arial" w:eastAsia="Arial" w:hAnsi="Arial" w:cs="Arial"/>
          <w:sz w:val="24"/>
          <w:szCs w:val="24"/>
        </w:rPr>
        <w:t xml:space="preserve">   </w:t>
      </w:r>
      <w:r>
        <w:rPr>
          <w:rFonts w:ascii="Arial" w:eastAsia="Arial" w:hAnsi="Arial" w:cs="Arial"/>
          <w:color w:val="000000"/>
          <w:sz w:val="24"/>
          <w:szCs w:val="24"/>
        </w:rPr>
        <w:t>The Supplier recognises that the Buyer is subject to PPN 01/17 (Updates to</w:t>
      </w:r>
    </w:p>
    <w:p w14:paraId="37EB9F97" w14:textId="77777777" w:rsidR="00752103" w:rsidRDefault="00681B98">
      <w:pPr>
        <w:spacing w:after="0"/>
        <w:ind w:left="1712" w:hanging="992"/>
      </w:pPr>
      <w:r>
        <w:rPr>
          <w:rFonts w:ascii="Arial" w:eastAsia="Arial" w:hAnsi="Arial" w:cs="Arial"/>
          <w:color w:val="000000"/>
          <w:sz w:val="24"/>
          <w:szCs w:val="24"/>
        </w:rPr>
        <w:t>transparency principles v1.1</w:t>
      </w:r>
    </w:p>
    <w:p w14:paraId="37EB9F98" w14:textId="77777777" w:rsidR="00752103" w:rsidRDefault="00681B98">
      <w:pPr>
        <w:spacing w:after="0"/>
        <w:ind w:left="1712" w:hanging="992"/>
      </w:pPr>
      <w:r>
        <w:rPr>
          <w:rFonts w:ascii="Arial" w:eastAsia="Arial" w:hAnsi="Arial" w:cs="Arial"/>
          <w:color w:val="000000"/>
          <w:sz w:val="24"/>
          <w:szCs w:val="24"/>
        </w:rPr>
        <w:t>(</w:t>
      </w:r>
      <w:hyperlink r:id="rId10" w:history="1">
        <w:r>
          <w:rPr>
            <w:rFonts w:ascii="Arial" w:eastAsia="Arial" w:hAnsi="Arial" w:cs="Arial"/>
            <w:color w:val="0000FF"/>
            <w:sz w:val="24"/>
            <w:szCs w:val="24"/>
            <w:u w:val="single"/>
          </w:rPr>
          <w:t>https://www.gov.uk/government/publications/procurement-policy-note-0117-</w:t>
        </w:r>
      </w:hyperlink>
    </w:p>
    <w:p w14:paraId="37EB9F99" w14:textId="77777777" w:rsidR="00752103" w:rsidRDefault="00681B98">
      <w:pPr>
        <w:spacing w:after="0"/>
        <w:ind w:left="1712" w:hanging="992"/>
      </w:pPr>
      <w:r>
        <w:rPr>
          <w:rFonts w:ascii="Arial" w:eastAsia="Arial" w:hAnsi="Arial" w:cs="Arial"/>
          <w:color w:val="0000FF"/>
          <w:sz w:val="24"/>
          <w:szCs w:val="24"/>
          <w:u w:val="single"/>
        </w:rPr>
        <w:t>u</w:t>
      </w:r>
      <w:hyperlink r:id="rId11" w:history="1">
        <w:r>
          <w:rPr>
            <w:rFonts w:ascii="Arial" w:eastAsia="Arial" w:hAnsi="Arial" w:cs="Arial"/>
            <w:color w:val="0000FF"/>
            <w:sz w:val="24"/>
            <w:szCs w:val="24"/>
            <w:u w:val="single"/>
          </w:rPr>
          <w:t>pdate-to-transparency-principles</w:t>
        </w:r>
      </w:hyperlink>
      <w:r>
        <w:rPr>
          <w:rFonts w:ascii="Arial" w:eastAsia="Arial" w:hAnsi="Arial" w:cs="Arial"/>
          <w:color w:val="000000"/>
          <w:sz w:val="24"/>
          <w:szCs w:val="24"/>
        </w:rPr>
        <w:t xml:space="preserve">). The Supplier shall comply with the </w:t>
      </w:r>
    </w:p>
    <w:p w14:paraId="37EB9F9A" w14:textId="77777777" w:rsidR="00752103" w:rsidRDefault="00681B98">
      <w:pPr>
        <w:spacing w:after="0"/>
        <w:ind w:left="1712" w:hanging="992"/>
        <w:rPr>
          <w:rFonts w:ascii="Arial" w:eastAsia="Arial" w:hAnsi="Arial" w:cs="Arial"/>
          <w:color w:val="000000"/>
          <w:sz w:val="24"/>
          <w:szCs w:val="24"/>
        </w:rPr>
      </w:pPr>
      <w:r>
        <w:rPr>
          <w:rFonts w:ascii="Arial" w:eastAsia="Arial" w:hAnsi="Arial" w:cs="Arial"/>
          <w:color w:val="000000"/>
          <w:sz w:val="24"/>
          <w:szCs w:val="24"/>
        </w:rPr>
        <w:t xml:space="preserve">provisions of this Schedule in order to assist the Buyer with its compliance </w:t>
      </w:r>
    </w:p>
    <w:p w14:paraId="37EB9F9B" w14:textId="77777777" w:rsidR="00752103" w:rsidRDefault="00681B98">
      <w:pPr>
        <w:spacing w:after="0"/>
        <w:ind w:left="1712" w:hanging="992"/>
        <w:rPr>
          <w:rFonts w:ascii="Arial" w:eastAsia="Arial" w:hAnsi="Arial" w:cs="Arial"/>
          <w:color w:val="000000"/>
          <w:sz w:val="24"/>
          <w:szCs w:val="24"/>
        </w:rPr>
      </w:pPr>
      <w:r>
        <w:rPr>
          <w:rFonts w:ascii="Arial" w:eastAsia="Arial" w:hAnsi="Arial" w:cs="Arial"/>
          <w:color w:val="000000"/>
          <w:sz w:val="24"/>
          <w:szCs w:val="24"/>
        </w:rPr>
        <w:t>with its obligations under that PPN.</w:t>
      </w:r>
    </w:p>
    <w:p w14:paraId="37EB9F9C" w14:textId="77777777" w:rsidR="00752103" w:rsidRDefault="00752103">
      <w:pPr>
        <w:spacing w:after="0"/>
        <w:ind w:left="720" w:hanging="720"/>
        <w:rPr>
          <w:rFonts w:ascii="Arial" w:eastAsia="Arial" w:hAnsi="Arial" w:cs="Arial"/>
          <w:color w:val="000000"/>
          <w:sz w:val="24"/>
          <w:szCs w:val="24"/>
        </w:rPr>
      </w:pPr>
    </w:p>
    <w:p w14:paraId="37EB9F9D" w14:textId="77777777" w:rsidR="00752103" w:rsidRDefault="00681B98">
      <w:pPr>
        <w:spacing w:after="0"/>
        <w:ind w:left="708" w:hanging="708"/>
        <w:jc w:val="both"/>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37EB9F9E" w14:textId="77777777" w:rsidR="00752103" w:rsidRDefault="00752103">
      <w:pPr>
        <w:spacing w:after="0"/>
        <w:jc w:val="both"/>
        <w:rPr>
          <w:rFonts w:ascii="Arial" w:eastAsia="Arial" w:hAnsi="Arial" w:cs="Arial"/>
          <w:color w:val="000000"/>
          <w:sz w:val="24"/>
          <w:szCs w:val="24"/>
        </w:rPr>
      </w:pPr>
    </w:p>
    <w:p w14:paraId="37EB9F9F" w14:textId="77777777" w:rsidR="00752103" w:rsidRDefault="00681B98">
      <w:pPr>
        <w:spacing w:after="0"/>
        <w:ind w:left="708" w:hanging="708"/>
        <w:jc w:val="both"/>
        <w:rPr>
          <w:rFonts w:ascii="Arial" w:eastAsia="Arial" w:hAnsi="Arial" w:cs="Arial"/>
          <w:color w:val="000000"/>
          <w:sz w:val="24"/>
          <w:szCs w:val="24"/>
        </w:rPr>
      </w:pPr>
      <w:r>
        <w:rPr>
          <w:rFonts w:ascii="Arial" w:eastAsia="Arial" w:hAnsi="Arial" w:cs="Arial"/>
          <w:color w:val="000000"/>
          <w:sz w:val="24"/>
          <w:szCs w:val="24"/>
        </w:rPr>
        <w:t>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37EB9FA0" w14:textId="77777777" w:rsidR="00752103" w:rsidRDefault="00752103">
      <w:pPr>
        <w:spacing w:after="0"/>
        <w:ind w:left="720" w:hanging="720"/>
        <w:jc w:val="both"/>
        <w:rPr>
          <w:rFonts w:ascii="Arial" w:eastAsia="Arial" w:hAnsi="Arial" w:cs="Arial"/>
          <w:color w:val="000000"/>
          <w:sz w:val="24"/>
          <w:szCs w:val="24"/>
        </w:rPr>
      </w:pPr>
    </w:p>
    <w:p w14:paraId="37EB9FA1" w14:textId="77777777" w:rsidR="00752103" w:rsidRDefault="00681B98">
      <w:pPr>
        <w:spacing w:after="0"/>
        <w:ind w:left="708" w:hanging="708"/>
        <w:jc w:val="both"/>
        <w:rPr>
          <w:rFonts w:ascii="Arial" w:eastAsia="Arial" w:hAnsi="Arial" w:cs="Arial"/>
          <w:color w:val="000000"/>
          <w:sz w:val="24"/>
          <w:szCs w:val="24"/>
        </w:rPr>
      </w:pPr>
      <w:r>
        <w:rPr>
          <w:rFonts w:ascii="Arial" w:eastAsia="Arial" w:hAnsi="Arial" w:cs="Arial"/>
          <w:color w:val="000000"/>
          <w:sz w:val="24"/>
          <w:szCs w:val="24"/>
        </w:rPr>
        <w:t>1.4   The Supplier shall provide accurate and up-to-date versions of each Transparency Report to the Buyer at the frequency referred to in the Annex of this Schedule.</w:t>
      </w:r>
    </w:p>
    <w:p w14:paraId="37EB9FA2" w14:textId="77777777" w:rsidR="00752103" w:rsidRDefault="00752103">
      <w:pPr>
        <w:pageBreakBefore/>
        <w:jc w:val="both"/>
      </w:pPr>
    </w:p>
    <w:p w14:paraId="37EB9FA3" w14:textId="77777777" w:rsidR="00752103" w:rsidRDefault="00752103">
      <w:pPr>
        <w:spacing w:after="0"/>
        <w:rPr>
          <w:rFonts w:ascii="Arial" w:eastAsia="Arial" w:hAnsi="Arial" w:cs="Arial"/>
          <w:color w:val="000000"/>
          <w:sz w:val="24"/>
          <w:szCs w:val="24"/>
        </w:rPr>
      </w:pPr>
    </w:p>
    <w:p w14:paraId="37EB9FA4" w14:textId="77777777" w:rsidR="00752103" w:rsidRDefault="00752103">
      <w:pPr>
        <w:spacing w:after="0"/>
        <w:rPr>
          <w:rFonts w:ascii="Arial" w:eastAsia="Arial" w:hAnsi="Arial" w:cs="Arial"/>
          <w:color w:val="000000"/>
          <w:sz w:val="24"/>
          <w:szCs w:val="24"/>
        </w:rPr>
      </w:pPr>
    </w:p>
    <w:p w14:paraId="37EB9FA5" w14:textId="77777777" w:rsidR="00752103" w:rsidRDefault="00681B98">
      <w:pPr>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Annex A: List of Transparency Reports</w:t>
      </w:r>
    </w:p>
    <w:tbl>
      <w:tblPr>
        <w:tblW w:w="8992" w:type="dxa"/>
        <w:tblLayout w:type="fixed"/>
        <w:tblCellMar>
          <w:left w:w="10" w:type="dxa"/>
          <w:right w:w="10" w:type="dxa"/>
        </w:tblCellMar>
        <w:tblLook w:val="0000" w:firstRow="0" w:lastRow="0" w:firstColumn="0" w:lastColumn="0" w:noHBand="0" w:noVBand="0"/>
      </w:tblPr>
      <w:tblGrid>
        <w:gridCol w:w="2943"/>
        <w:gridCol w:w="2297"/>
        <w:gridCol w:w="1701"/>
        <w:gridCol w:w="2051"/>
      </w:tblGrid>
      <w:tr w:rsidR="00752103" w14:paraId="37EB9FAA" w14:textId="77777777" w:rsidTr="00040214">
        <w:trPr>
          <w:trHeight w:val="123"/>
        </w:trPr>
        <w:tc>
          <w:tcPr>
            <w:tcW w:w="294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7EB9FA6" w14:textId="77777777" w:rsidR="00752103" w:rsidRDefault="00681B98">
            <w:pPr>
              <w:spacing w:after="0"/>
            </w:pPr>
            <w:r>
              <w:rPr>
                <w:rFonts w:ascii="Arial" w:eastAsia="Arial" w:hAnsi="Arial" w:cs="Arial"/>
                <w:b/>
                <w:color w:val="000000"/>
                <w:sz w:val="24"/>
                <w:szCs w:val="24"/>
              </w:rPr>
              <w:t xml:space="preserve">Title </w:t>
            </w:r>
          </w:p>
        </w:tc>
        <w:tc>
          <w:tcPr>
            <w:tcW w:w="2297"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7EB9FA7" w14:textId="77777777" w:rsidR="00752103" w:rsidRDefault="00681B98">
            <w:pPr>
              <w:spacing w:after="0"/>
            </w:pPr>
            <w:r>
              <w:rPr>
                <w:rFonts w:ascii="Arial" w:eastAsia="Arial" w:hAnsi="Arial" w:cs="Arial"/>
                <w:b/>
                <w:color w:val="000000"/>
                <w:sz w:val="24"/>
                <w:szCs w:val="24"/>
              </w:rPr>
              <w:t xml:space="preserve">Content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7EB9FA8" w14:textId="77777777" w:rsidR="00752103" w:rsidRDefault="00681B98">
            <w:pPr>
              <w:spacing w:after="0"/>
            </w:pPr>
            <w:r>
              <w:rPr>
                <w:rFonts w:ascii="Arial" w:eastAsia="Arial" w:hAnsi="Arial" w:cs="Arial"/>
                <w:b/>
                <w:color w:val="000000"/>
                <w:sz w:val="24"/>
                <w:szCs w:val="24"/>
              </w:rPr>
              <w:t xml:space="preserve">Format </w:t>
            </w:r>
          </w:p>
        </w:tc>
        <w:tc>
          <w:tcPr>
            <w:tcW w:w="205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7EB9FA9" w14:textId="77777777" w:rsidR="00752103" w:rsidRDefault="00681B98">
            <w:pPr>
              <w:spacing w:after="0"/>
            </w:pPr>
            <w:r>
              <w:rPr>
                <w:rFonts w:ascii="Arial" w:eastAsia="Arial" w:hAnsi="Arial" w:cs="Arial"/>
                <w:b/>
                <w:color w:val="000000"/>
                <w:sz w:val="24"/>
                <w:szCs w:val="24"/>
              </w:rPr>
              <w:t xml:space="preserve">Frequency </w:t>
            </w:r>
          </w:p>
        </w:tc>
      </w:tr>
      <w:tr w:rsidR="00752103" w14:paraId="37EB9FB3" w14:textId="77777777" w:rsidTr="00040214">
        <w:trPr>
          <w:trHeight w:val="214"/>
        </w:trPr>
        <w:tc>
          <w:tcPr>
            <w:tcW w:w="294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7EB9FAB" w14:textId="77777777" w:rsidR="00752103" w:rsidRDefault="00752103">
            <w:pPr>
              <w:tabs>
                <w:tab w:val="left" w:pos="3380"/>
              </w:tabs>
              <w:spacing w:after="0"/>
              <w:rPr>
                <w:rFonts w:ascii="Arial" w:eastAsia="Arial" w:hAnsi="Arial" w:cs="Arial"/>
                <w:color w:val="000000"/>
                <w:sz w:val="24"/>
                <w:szCs w:val="24"/>
                <w:shd w:val="clear" w:color="auto" w:fill="FFFF00"/>
              </w:rPr>
            </w:pPr>
          </w:p>
          <w:p w14:paraId="37EB9FAC" w14:textId="77777777" w:rsidR="00752103" w:rsidRDefault="00681B98">
            <w:pPr>
              <w:tabs>
                <w:tab w:val="left" w:pos="3380"/>
              </w:tabs>
              <w:spacing w:after="0"/>
            </w:pPr>
            <w:r>
              <w:rPr>
                <w:rFonts w:ascii="Arial" w:eastAsia="Arial" w:hAnsi="Arial" w:cs="Arial"/>
                <w:color w:val="000000"/>
                <w:sz w:val="24"/>
                <w:szCs w:val="24"/>
              </w:rPr>
              <w:t>KPI Performance</w:t>
            </w:r>
            <w:r>
              <w:rPr>
                <w:rFonts w:ascii="Arial" w:eastAsia="Arial" w:hAnsi="Arial" w:cs="Arial"/>
                <w:color w:val="000000"/>
                <w:sz w:val="24"/>
                <w:szCs w:val="24"/>
              </w:rPr>
              <w:tab/>
            </w:r>
          </w:p>
        </w:tc>
        <w:tc>
          <w:tcPr>
            <w:tcW w:w="2297"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7EB9FAD" w14:textId="77777777" w:rsidR="00752103" w:rsidRPr="00E136AB" w:rsidRDefault="00752103">
            <w:pPr>
              <w:spacing w:after="0"/>
              <w:rPr>
                <w:rFonts w:ascii="Arial" w:eastAsia="Arial" w:hAnsi="Arial" w:cs="Arial"/>
                <w:color w:val="000000"/>
                <w:sz w:val="24"/>
                <w:szCs w:val="24"/>
              </w:rPr>
            </w:pPr>
          </w:p>
          <w:p w14:paraId="7B2C1A8E" w14:textId="77777777" w:rsidR="00752103" w:rsidRPr="00E136AB" w:rsidRDefault="00681B98">
            <w:pPr>
              <w:spacing w:after="0"/>
              <w:rPr>
                <w:rFonts w:ascii="Arial" w:eastAsia="Arial" w:hAnsi="Arial" w:cs="Arial"/>
                <w:color w:val="000000"/>
                <w:sz w:val="24"/>
                <w:szCs w:val="24"/>
              </w:rPr>
            </w:pPr>
            <w:r w:rsidRPr="00E136AB">
              <w:rPr>
                <w:rFonts w:ascii="Arial" w:eastAsia="Arial" w:hAnsi="Arial" w:cs="Arial"/>
                <w:color w:val="000000"/>
                <w:sz w:val="24"/>
                <w:szCs w:val="24"/>
              </w:rPr>
              <w:t>Performance against KPIs, as outlined in Annex A to Part A: Service Levels and Service Credits Table in Call-Off Schedule 14 (Service Levels)</w:t>
            </w:r>
          </w:p>
          <w:p w14:paraId="3959FC5A" w14:textId="77777777" w:rsidR="005C2D7D" w:rsidRPr="00E136AB" w:rsidRDefault="005C2D7D">
            <w:pPr>
              <w:spacing w:after="0"/>
              <w:rPr>
                <w:rFonts w:ascii="Arial" w:eastAsia="Arial" w:hAnsi="Arial" w:cs="Arial"/>
                <w:color w:val="000000"/>
                <w:sz w:val="24"/>
                <w:szCs w:val="24"/>
              </w:rPr>
            </w:pPr>
          </w:p>
          <w:p w14:paraId="37EB9FAE" w14:textId="2D06EDFB" w:rsidR="005C2D7D" w:rsidRPr="00E136AB" w:rsidRDefault="00E136AB">
            <w:pPr>
              <w:spacing w:after="0"/>
              <w:rPr>
                <w:rFonts w:ascii="Arial" w:eastAsia="Arial" w:hAnsi="Arial" w:cs="Arial"/>
                <w:color w:val="000000"/>
                <w:sz w:val="24"/>
                <w:szCs w:val="24"/>
              </w:rPr>
            </w:pPr>
            <w:r w:rsidRPr="00E136AB">
              <w:rPr>
                <w:rFonts w:ascii="Arial" w:eastAsia="Arial" w:hAnsi="Arial" w:cs="Arial"/>
                <w:color w:val="000000"/>
                <w:sz w:val="24"/>
                <w:szCs w:val="24"/>
              </w:rPr>
              <w:t>Additionally,</w:t>
            </w:r>
            <w:r w:rsidR="005C2D7D" w:rsidRPr="00E136AB">
              <w:rPr>
                <w:rFonts w:ascii="Arial" w:eastAsia="Arial" w:hAnsi="Arial" w:cs="Arial"/>
                <w:color w:val="000000"/>
                <w:sz w:val="24"/>
                <w:szCs w:val="24"/>
              </w:rPr>
              <w:t xml:space="preserve"> any supplementary commentary / evidence </w:t>
            </w:r>
            <w:r w:rsidR="00AD618F" w:rsidRPr="00E136AB">
              <w:rPr>
                <w:rFonts w:ascii="Arial" w:eastAsia="Arial" w:hAnsi="Arial" w:cs="Arial"/>
                <w:color w:val="000000"/>
                <w:sz w:val="24"/>
                <w:szCs w:val="24"/>
              </w:rPr>
              <w:t>to support any discrepancies.</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7EB9FAF" w14:textId="77777777" w:rsidR="00752103" w:rsidRPr="00E136AB" w:rsidRDefault="00752103">
            <w:pPr>
              <w:spacing w:after="0"/>
              <w:rPr>
                <w:rFonts w:ascii="Arial" w:eastAsia="Arial" w:hAnsi="Arial" w:cs="Arial"/>
                <w:color w:val="000000"/>
                <w:sz w:val="24"/>
                <w:szCs w:val="24"/>
              </w:rPr>
            </w:pPr>
          </w:p>
          <w:p w14:paraId="37EB9FB0" w14:textId="24D53F41" w:rsidR="00752103" w:rsidRPr="00E136AB" w:rsidRDefault="00040214">
            <w:pPr>
              <w:spacing w:after="0"/>
              <w:rPr>
                <w:rFonts w:ascii="Arial" w:eastAsia="Arial" w:hAnsi="Arial" w:cs="Arial"/>
                <w:color w:val="000000"/>
                <w:sz w:val="24"/>
                <w:szCs w:val="24"/>
              </w:rPr>
            </w:pPr>
            <w:r w:rsidRPr="00E136AB">
              <w:rPr>
                <w:rFonts w:ascii="Arial" w:eastAsia="Arial" w:hAnsi="Arial" w:cs="Arial"/>
                <w:color w:val="000000"/>
                <w:sz w:val="24"/>
                <w:szCs w:val="24"/>
              </w:rPr>
              <w:t>Management information</w:t>
            </w:r>
          </w:p>
        </w:tc>
        <w:tc>
          <w:tcPr>
            <w:tcW w:w="205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7EB9FB1" w14:textId="77777777" w:rsidR="00752103" w:rsidRPr="00E136AB" w:rsidRDefault="00752103">
            <w:pPr>
              <w:spacing w:after="0"/>
              <w:rPr>
                <w:rFonts w:ascii="Arial" w:eastAsia="Arial" w:hAnsi="Arial" w:cs="Arial"/>
                <w:color w:val="000000"/>
                <w:sz w:val="24"/>
                <w:szCs w:val="24"/>
              </w:rPr>
            </w:pPr>
          </w:p>
          <w:p w14:paraId="37EB9FB2" w14:textId="4C194ACB" w:rsidR="00752103" w:rsidRPr="00E136AB" w:rsidRDefault="00FA21AC">
            <w:pPr>
              <w:spacing w:after="0"/>
              <w:rPr>
                <w:rFonts w:ascii="Arial" w:eastAsia="Arial" w:hAnsi="Arial" w:cs="Arial"/>
                <w:color w:val="000000"/>
                <w:sz w:val="24"/>
                <w:szCs w:val="24"/>
              </w:rPr>
            </w:pPr>
            <w:r w:rsidRPr="00E136AB">
              <w:rPr>
                <w:rFonts w:ascii="Arial" w:eastAsia="Arial" w:hAnsi="Arial" w:cs="Arial"/>
                <w:color w:val="000000"/>
                <w:sz w:val="24"/>
                <w:szCs w:val="24"/>
              </w:rPr>
              <w:t>Quarterly</w:t>
            </w:r>
          </w:p>
        </w:tc>
      </w:tr>
    </w:tbl>
    <w:p w14:paraId="37EB9FB4" w14:textId="77777777" w:rsidR="00752103" w:rsidRDefault="00752103">
      <w:pPr>
        <w:tabs>
          <w:tab w:val="left" w:pos="1251"/>
        </w:tabs>
        <w:rPr>
          <w:rFonts w:ascii="Arial" w:eastAsia="Arial" w:hAnsi="Arial" w:cs="Arial"/>
          <w:sz w:val="24"/>
          <w:szCs w:val="24"/>
        </w:rPr>
      </w:pPr>
    </w:p>
    <w:p w14:paraId="37EB9FB5" w14:textId="77777777" w:rsidR="00752103" w:rsidRDefault="00681B98">
      <w:pPr>
        <w:tabs>
          <w:tab w:val="left" w:pos="1251"/>
        </w:tabs>
      </w:pPr>
      <w:r>
        <w:rPr>
          <w:rFonts w:ascii="Arial" w:eastAsia="Arial" w:hAnsi="Arial" w:cs="Arial"/>
          <w:sz w:val="24"/>
          <w:szCs w:val="24"/>
        </w:rPr>
        <w:t>The above List of Transparency Reports is subject to finalisation prior to contract award.</w:t>
      </w:r>
    </w:p>
    <w:sectPr w:rsidR="00752103">
      <w:headerReference w:type="default" r:id="rId12"/>
      <w:footerReference w:type="defaul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61D943" w14:textId="77777777" w:rsidR="000A1CA8" w:rsidRDefault="000A1CA8">
      <w:pPr>
        <w:spacing w:after="0" w:line="240" w:lineRule="auto"/>
      </w:pPr>
      <w:r>
        <w:separator/>
      </w:r>
    </w:p>
  </w:endnote>
  <w:endnote w:type="continuationSeparator" w:id="0">
    <w:p w14:paraId="50443D6B" w14:textId="77777777" w:rsidR="000A1CA8" w:rsidRDefault="000A1C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STZhongsong">
    <w:altName w:val="Arial Unicode MS"/>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B9FA2" w14:textId="77777777" w:rsidR="00F62451" w:rsidRDefault="000A1CA8">
    <w:pPr>
      <w:tabs>
        <w:tab w:val="center" w:pos="4513"/>
        <w:tab w:val="right" w:pos="9026"/>
      </w:tabs>
      <w:spacing w:after="0"/>
      <w:rPr>
        <w:rFonts w:ascii="Arial" w:eastAsia="Arial" w:hAnsi="Arial" w:cs="Arial"/>
        <w:color w:val="A6A6A6"/>
        <w:sz w:val="20"/>
        <w:szCs w:val="20"/>
      </w:rPr>
    </w:pPr>
  </w:p>
  <w:p w14:paraId="37EB9FA3" w14:textId="77777777" w:rsidR="00F62451" w:rsidRDefault="00681B98">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RM6171</w:t>
    </w:r>
    <w:r>
      <w:rPr>
        <w:rFonts w:ascii="Arial" w:eastAsia="Arial" w:hAnsi="Arial" w:cs="Arial"/>
        <w:sz w:val="20"/>
        <w:szCs w:val="20"/>
      </w:rPr>
      <w:tab/>
      <w:t xml:space="preserve">                                           </w:t>
    </w:r>
  </w:p>
  <w:p w14:paraId="37EB9FA4" w14:textId="77777777" w:rsidR="00F62451" w:rsidRDefault="00681B98">
    <w:pPr>
      <w:tabs>
        <w:tab w:val="center" w:pos="4513"/>
        <w:tab w:val="right" w:pos="9026"/>
      </w:tabs>
      <w:spacing w:after="0" w:line="240" w:lineRule="auto"/>
    </w:pPr>
    <w:bookmarkStart w:id="1" w:name="_heading=h.30j0zll"/>
    <w:bookmarkEnd w:id="1"/>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 xml:space="preserve"> PAGE </w:instrText>
    </w:r>
    <w:r>
      <w:rPr>
        <w:rFonts w:ascii="Arial" w:eastAsia="Arial" w:hAnsi="Arial" w:cs="Arial"/>
        <w:color w:val="000000"/>
        <w:sz w:val="20"/>
        <w:szCs w:val="20"/>
      </w:rPr>
      <w:fldChar w:fldCharType="separate"/>
    </w:r>
    <w:r>
      <w:rPr>
        <w:rFonts w:ascii="Arial" w:eastAsia="Arial" w:hAnsi="Arial" w:cs="Arial"/>
        <w:color w:val="000000"/>
        <w:sz w:val="20"/>
        <w:szCs w:val="20"/>
      </w:rPr>
      <w:t>1</w:t>
    </w:r>
    <w:r>
      <w:rPr>
        <w:rFonts w:ascii="Arial" w:eastAsia="Arial" w:hAnsi="Arial" w:cs="Arial"/>
        <w:color w:val="000000"/>
        <w:sz w:val="20"/>
        <w:szCs w:val="20"/>
      </w:rPr>
      <w:fldChar w:fldCharType="end"/>
    </w:r>
  </w:p>
  <w:p w14:paraId="37EB9FA5" w14:textId="5148F4E6" w:rsidR="00F62451" w:rsidRDefault="00681B98">
    <w:pPr>
      <w:spacing w:after="0"/>
    </w:pP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4D8965" w14:textId="77777777" w:rsidR="000A1CA8" w:rsidRDefault="000A1CA8">
      <w:pPr>
        <w:spacing w:after="0" w:line="240" w:lineRule="auto"/>
      </w:pPr>
      <w:r>
        <w:rPr>
          <w:color w:val="000000"/>
        </w:rPr>
        <w:separator/>
      </w:r>
    </w:p>
  </w:footnote>
  <w:footnote w:type="continuationSeparator" w:id="0">
    <w:p w14:paraId="57F9BDCD" w14:textId="77777777" w:rsidR="000A1CA8" w:rsidRDefault="000A1C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B9F9D" w14:textId="77777777" w:rsidR="00F62451" w:rsidRDefault="00681B98">
    <w:pPr>
      <w:tabs>
        <w:tab w:val="center" w:pos="4513"/>
        <w:tab w:val="right" w:pos="9026"/>
      </w:tabs>
      <w:spacing w:after="0" w:line="240" w:lineRule="auto"/>
    </w:pPr>
    <w:r>
      <w:rPr>
        <w:rFonts w:ascii="Arial" w:hAnsi="Arial" w:cs="Arial"/>
        <w:b/>
        <w:color w:val="000000"/>
      </w:rPr>
      <w:t>Call-Off Schedule 1 (Transparency Reports)</w:t>
    </w:r>
  </w:p>
  <w:p w14:paraId="37EB9F9E" w14:textId="43951782" w:rsidR="00F62451" w:rsidRDefault="00681B98">
    <w:pPr>
      <w:tabs>
        <w:tab w:val="center" w:pos="4513"/>
        <w:tab w:val="right" w:pos="9026"/>
      </w:tabs>
      <w:spacing w:after="0" w:line="240" w:lineRule="auto"/>
    </w:pPr>
    <w:r>
      <w:rPr>
        <w:rFonts w:ascii="Arial" w:eastAsia="Arial" w:hAnsi="Arial" w:cs="Arial"/>
        <w:color w:val="000000"/>
        <w:sz w:val="20"/>
        <w:szCs w:val="20"/>
      </w:rPr>
      <w:t xml:space="preserve">Call-Off Ref: </w:t>
    </w:r>
    <w:r w:rsidR="008A1272" w:rsidRPr="008A1272">
      <w:rPr>
        <w:rFonts w:ascii="Arial" w:eastAsia="Arial" w:hAnsi="Arial" w:cs="Arial"/>
        <w:color w:val="000000"/>
        <w:sz w:val="20"/>
        <w:szCs w:val="20"/>
      </w:rPr>
      <w:t>CCCB21A09</w:t>
    </w:r>
  </w:p>
  <w:p w14:paraId="37EB9F9F" w14:textId="77777777" w:rsidR="00F62451" w:rsidRDefault="00681B98">
    <w:pPr>
      <w:tabs>
        <w:tab w:val="center" w:pos="4513"/>
        <w:tab w:val="right" w:pos="9026"/>
      </w:tabs>
      <w:spacing w:after="0" w:line="240" w:lineRule="auto"/>
    </w:pPr>
    <w:r>
      <w:rPr>
        <w:rFonts w:ascii="Arial" w:hAnsi="Arial" w:cs="Arial"/>
        <w:color w:val="000000"/>
      </w:rPr>
      <w:t>Crown Copyright</w:t>
    </w:r>
    <w:r>
      <w:rPr>
        <w:rFonts w:ascii="Arial" w:eastAsia="Arial" w:hAnsi="Arial" w:cs="Arial"/>
        <w:color w:val="000000"/>
        <w:sz w:val="16"/>
        <w:szCs w:val="16"/>
      </w:rPr>
      <w:t xml:space="preserve"> </w:t>
    </w:r>
    <w:r>
      <w:rPr>
        <w:rFonts w:ascii="Arial" w:hAnsi="Arial" w:cs="Arial"/>
        <w:color w:val="000000"/>
      </w:rPr>
      <w:t>2021</w:t>
    </w:r>
  </w:p>
  <w:p w14:paraId="37EB9FA0" w14:textId="77777777" w:rsidR="00F62451" w:rsidRDefault="000A1CA8">
    <w:pP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1571BE"/>
    <w:multiLevelType w:val="multilevel"/>
    <w:tmpl w:val="AC90BF58"/>
    <w:styleLink w:val="LFO4"/>
    <w:lvl w:ilvl="0">
      <w:numFmt w:val="bullet"/>
      <w:pStyle w:val="DeptBullets"/>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Marlett" w:hAnsi="Marlett"/>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Marlett" w:hAnsi="Marlett"/>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Marlett" w:hAnsi="Marlett"/>
      </w:rPr>
    </w:lvl>
  </w:abstractNum>
  <w:abstractNum w:abstractNumId="1" w15:restartNumberingAfterBreak="0">
    <w:nsid w:val="6555298B"/>
    <w:multiLevelType w:val="multilevel"/>
    <w:tmpl w:val="05665F9C"/>
    <w:styleLink w:val="LFO2"/>
    <w:lvl w:ilvl="0">
      <w:start w:val="1"/>
      <w:numFmt w:val="decimal"/>
      <w:pStyle w:val="DfESOutNumbered"/>
      <w:lvlText w:val="%1."/>
      <w:lvlJc w:val="left"/>
    </w:lvl>
    <w:lvl w:ilvl="1">
      <w:start w:val="1"/>
      <w:numFmt w:val="lowerLetter"/>
      <w:lvlText w:val="%2."/>
      <w:lvlJc w:val="left"/>
      <w:pPr>
        <w:ind w:left="1440" w:hanging="720"/>
      </w:pPr>
    </w:lvl>
    <w:lvl w:ilvl="2">
      <w:start w:val="1"/>
      <w:numFmt w:val="lowerRoman"/>
      <w:lvlText w:val="%3)"/>
      <w:lvlJc w:val="left"/>
      <w:pPr>
        <w:ind w:left="2160" w:hanging="720"/>
      </w:pPr>
    </w:lvl>
    <w:lvl w:ilvl="3">
      <w:start w:val="1"/>
      <w:numFmt w:val="lowerLetter"/>
      <w:lvlText w:val="%4)"/>
      <w:lvlJc w:val="left"/>
      <w:pPr>
        <w:ind w:left="2880" w:hanging="720"/>
      </w:pPr>
    </w:lvl>
    <w:lvl w:ilvl="4">
      <w:start w:val="1"/>
      <w:numFmt w:val="decimal"/>
      <w:lvlText w:val="(%5)"/>
      <w:lvlJc w:val="left"/>
      <w:pPr>
        <w:ind w:left="3600" w:hanging="720"/>
      </w:pPr>
    </w:lvl>
    <w:lvl w:ilvl="5">
      <w:start w:val="1"/>
      <w:numFmt w:val="lowerRoman"/>
      <w:lvlText w:val="(%6)"/>
      <w:lvlJc w:val="left"/>
      <w:pPr>
        <w:ind w:left="4320" w:hanging="720"/>
      </w:pPr>
    </w:lvl>
    <w:lvl w:ilvl="6">
      <w:start w:val="1"/>
      <w:numFmt w:val="decimal"/>
      <w:lvlText w:val="%7."/>
      <w:lvlJc w:val="left"/>
      <w:pPr>
        <w:ind w:left="5040" w:hanging="720"/>
      </w:pPr>
    </w:lvl>
    <w:lvl w:ilvl="7">
      <w:start w:val="1"/>
      <w:numFmt w:val="lowerLetter"/>
      <w:lvlText w:val="%8."/>
      <w:lvlJc w:val="left"/>
      <w:pPr>
        <w:ind w:left="5760" w:hanging="720"/>
      </w:pPr>
    </w:lvl>
    <w:lvl w:ilvl="8">
      <w:start w:val="1"/>
      <w:numFmt w:val="lowerRoman"/>
      <w:lvlText w:val="%9."/>
      <w:lvlJc w:val="left"/>
      <w:pPr>
        <w:ind w:left="6480" w:hanging="7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2103"/>
    <w:rsid w:val="00040214"/>
    <w:rsid w:val="000A1CA8"/>
    <w:rsid w:val="00197D1E"/>
    <w:rsid w:val="002724DD"/>
    <w:rsid w:val="00276BB4"/>
    <w:rsid w:val="00504550"/>
    <w:rsid w:val="005C2D7D"/>
    <w:rsid w:val="005E6156"/>
    <w:rsid w:val="00626DEF"/>
    <w:rsid w:val="00681B98"/>
    <w:rsid w:val="007513EA"/>
    <w:rsid w:val="00752103"/>
    <w:rsid w:val="00831666"/>
    <w:rsid w:val="008A1272"/>
    <w:rsid w:val="00AD618F"/>
    <w:rsid w:val="00E136AB"/>
    <w:rsid w:val="00FA21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EB9F95"/>
  <w15:docId w15:val="{10506406-D0C8-4A1A-A3AC-E0C5B914D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autoSpaceDN w:val="0"/>
        <w:spacing w:after="200" w:line="27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style>
  <w:style w:type="character" w:styleId="Emphasis">
    <w:name w:val="Emphasis"/>
    <w:basedOn w:val="DefaultParagraphFont"/>
    <w:rPr>
      <w:i/>
      <w:iCs/>
    </w:rPr>
  </w:style>
  <w:style w:type="paragraph" w:customStyle="1" w:styleId="GPSSchTitleandNumber">
    <w:name w:val="GPS Sch Title and Number"/>
    <w:basedOn w:val="Normal"/>
    <w:pPr>
      <w:keepNext/>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rPr>
      <w:rFonts w:ascii="Arial Bold" w:eastAsia="STZhongsong" w:hAnsi="Arial Bold" w:cs="Times New Roman"/>
      <w:b/>
      <w:caps/>
      <w:lang w:eastAsia="zh-CN"/>
    </w:rPr>
  </w:style>
  <w:style w:type="paragraph" w:customStyle="1" w:styleId="TSOLScheduleAnnexName">
    <w:name w:val="TSOL Schedule Annex Name"/>
    <w:pPr>
      <w:suppressAutoHyphens/>
      <w:spacing w:after="240" w:line="240" w:lineRule="auto"/>
      <w:jc w:val="center"/>
      <w:outlineLvl w:val="1"/>
    </w:pPr>
    <w:rPr>
      <w:rFonts w:eastAsia="STZhongsong" w:cs="Arial"/>
      <w:b/>
      <w:caps/>
      <w:lang w:eastAsia="zh-CN"/>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sz w:val="20"/>
      <w:szCs w:val="20"/>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rPr>
  </w:style>
  <w:style w:type="paragraph" w:customStyle="1" w:styleId="Normal1">
    <w:name w:val="Normal1"/>
    <w:pPr>
      <w:widowControl w:val="0"/>
      <w:suppressAutoHyphens/>
      <w:spacing w:after="80" w:line="240" w:lineRule="auto"/>
    </w:pPr>
    <w:rPr>
      <w:color w:val="000000"/>
    </w:r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customStyle="1" w:styleId="GPSL2Numbered">
    <w:name w:val="GPS L2 Numbered"/>
    <w:basedOn w:val="Normal"/>
    <w:pPr>
      <w:tabs>
        <w:tab w:val="left" w:pos="709"/>
        <w:tab w:val="left" w:pos="1134"/>
      </w:tabs>
      <w:spacing w:before="120" w:after="120" w:line="240" w:lineRule="auto"/>
      <w:jc w:val="both"/>
    </w:pPr>
    <w:rPr>
      <w:rFonts w:eastAsia="Times New Roman" w:cs="Arial"/>
      <w:lang w:eastAsia="zh-CN"/>
    </w:rPr>
  </w:style>
  <w:style w:type="character" w:customStyle="1" w:styleId="GPSL2NumberedChar">
    <w:name w:val="GPS L2 Numbered Char"/>
    <w:rPr>
      <w:rFonts w:ascii="Calibri" w:eastAsia="Times New Roman" w:hAnsi="Calibri" w:cs="Arial"/>
      <w:lang w:eastAsia="zh-CN"/>
    </w:rPr>
  </w:style>
  <w:style w:type="paragraph" w:styleId="Revision">
    <w:name w:val="Revision"/>
    <w:pPr>
      <w:suppressAutoHyphens/>
      <w:spacing w:after="0" w:line="240" w:lineRule="auto"/>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DfESOutNumbered">
    <w:name w:val="DfESOutNumbered"/>
    <w:basedOn w:val="Normal"/>
    <w:pPr>
      <w:widowControl w:val="0"/>
      <w:numPr>
        <w:numId w:val="1"/>
      </w:numPr>
      <w:suppressAutoHyphens w:val="0"/>
      <w:overflowPunct w:val="0"/>
      <w:autoSpaceDE w:val="0"/>
      <w:spacing w:after="240" w:line="240" w:lineRule="auto"/>
    </w:pPr>
    <w:rPr>
      <w:rFonts w:ascii="Arial" w:eastAsia="Times New Roman" w:hAnsi="Arial" w:cs="Arial"/>
      <w:szCs w:val="20"/>
      <w:lang w:eastAsia="en-US"/>
    </w:rPr>
  </w:style>
  <w:style w:type="character" w:customStyle="1" w:styleId="DfESOutNumberedChar">
    <w:name w:val="DfESOutNumbered Char"/>
    <w:basedOn w:val="DefaultParagraphFont"/>
    <w:rPr>
      <w:rFonts w:ascii="Arial" w:eastAsia="Times New Roman" w:hAnsi="Arial" w:cs="Arial"/>
      <w:szCs w:val="20"/>
      <w:lang w:eastAsia="en-US"/>
    </w:rPr>
  </w:style>
  <w:style w:type="paragraph" w:customStyle="1" w:styleId="DeptBullets">
    <w:name w:val="DeptBullets"/>
    <w:basedOn w:val="Normal"/>
    <w:pPr>
      <w:widowControl w:val="0"/>
      <w:numPr>
        <w:numId w:val="2"/>
      </w:numPr>
      <w:suppressAutoHyphens w:val="0"/>
      <w:overflowPunct w:val="0"/>
      <w:autoSpaceDE w:val="0"/>
      <w:spacing w:after="240" w:line="240" w:lineRule="auto"/>
    </w:pPr>
    <w:rPr>
      <w:rFonts w:ascii="Arial" w:eastAsia="Times New Roman" w:hAnsi="Arial" w:cs="Times New Roman"/>
      <w:sz w:val="24"/>
      <w:szCs w:val="20"/>
      <w:lang w:eastAsia="en-US"/>
    </w:rPr>
  </w:style>
  <w:style w:type="character" w:customStyle="1" w:styleId="DeptBulletsChar">
    <w:name w:val="DeptBullets Char"/>
    <w:basedOn w:val="DefaultParagraphFont"/>
    <w:rPr>
      <w:rFonts w:ascii="Arial" w:eastAsia="Times New Roman" w:hAnsi="Arial" w:cs="Times New Roman"/>
      <w:sz w:val="24"/>
      <w:szCs w:val="20"/>
      <w:lang w:eastAsia="en-US"/>
    </w:rPr>
  </w:style>
  <w:style w:type="numbering" w:customStyle="1" w:styleId="LFO2">
    <w:name w:val="LFO2"/>
    <w:basedOn w:val="NoList"/>
    <w:pPr>
      <w:numPr>
        <w:numId w:val="1"/>
      </w:numPr>
    </w:pPr>
  </w:style>
  <w:style w:type="numbering" w:customStyle="1" w:styleId="LFO4">
    <w:name w:val="LFO4"/>
    <w:basedOn w:val="NoList"/>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gov.uk/government/publications/procurement-policy-note-0117-update-to-transparency-principle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gov.uk/government/publications/procurement-policy-note-0117-update-to-transparency-principle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05BEDDB42BCF4EB5743C3443F342FC" ma:contentTypeVersion="8" ma:contentTypeDescription="Create a new document." ma:contentTypeScope="" ma:versionID="f1ae5d4d6cb59f0654084414907d0f12">
  <xsd:schema xmlns:xsd="http://www.w3.org/2001/XMLSchema" xmlns:xs="http://www.w3.org/2001/XMLSchema" xmlns:p="http://schemas.microsoft.com/office/2006/metadata/properties" xmlns:ns2="d6b18733-f85a-4b02-abcd-65362111bf08" xmlns:ns3="33291e71-0ccb-4922-892f-94785c70a05f" targetNamespace="http://schemas.microsoft.com/office/2006/metadata/properties" ma:root="true" ma:fieldsID="5b697c1c6b730144d3d83f9e542aefc2" ns2:_="" ns3:_="">
    <xsd:import namespace="d6b18733-f85a-4b02-abcd-65362111bf08"/>
    <xsd:import namespace="33291e71-0ccb-4922-892f-94785c70a05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b18733-f85a-4b02-abcd-65362111bf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3291e71-0ccb-4922-892f-94785c70a05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B713CF-FDA7-47BB-A5D2-8779B47EA096}">
  <ds:schemaRefs>
    <ds:schemaRef ds:uri="http://schemas.microsoft.com/sharepoint/v3/contenttype/forms"/>
  </ds:schemaRefs>
</ds:datastoreItem>
</file>

<file path=customXml/itemProps2.xml><?xml version="1.0" encoding="utf-8"?>
<ds:datastoreItem xmlns:ds="http://schemas.openxmlformats.org/officeDocument/2006/customXml" ds:itemID="{42814F81-AF8A-41B7-AF89-22309FC804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b18733-f85a-4b02-abcd-65362111bf08"/>
    <ds:schemaRef ds:uri="33291e71-0ccb-4922-892f-94785c70a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3456A1-25AF-428A-824D-E650D2A4B2F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327</Words>
  <Characters>1869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Fiona Ryan</dc:creator>
  <cp:lastModifiedBy>Matthew Turner</cp:lastModifiedBy>
  <cp:revision>2</cp:revision>
  <dcterms:created xsi:type="dcterms:W3CDTF">2022-09-08T13:59:00Z</dcterms:created>
  <dcterms:modified xsi:type="dcterms:W3CDTF">2022-09-08T13:59:00Z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0x0101007205BEDDB42BCF4EB5743C3443F342FC</vt:lpwstr>
  </property>
</Properties>
</file>